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E75" w:rsidRDefault="00F461BB" w:rsidP="005D7E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7457">
        <w:rPr>
          <w:rFonts w:ascii="Times New Roman" w:hAnsi="Times New Roman" w:cs="Times New Roman"/>
          <w:b/>
          <w:bCs/>
          <w:sz w:val="24"/>
          <w:szCs w:val="24"/>
        </w:rPr>
        <w:t xml:space="preserve">Порядок предоставления субсидии на реализацию мероприятия 4.2 подпрограммы 4 </w:t>
      </w:r>
      <w:r w:rsidRPr="008D7457">
        <w:rPr>
          <w:rFonts w:ascii="Times New Roman" w:hAnsi="Times New Roman" w:cs="Times New Roman"/>
          <w:b/>
          <w:sz w:val="24"/>
          <w:szCs w:val="24"/>
        </w:rPr>
        <w:t>"</w:t>
      </w:r>
      <w:r w:rsidRPr="008D7457">
        <w:rPr>
          <w:rFonts w:ascii="Times New Roman" w:hAnsi="Times New Roman" w:cs="Times New Roman"/>
          <w:b/>
          <w:bCs/>
          <w:sz w:val="24"/>
          <w:szCs w:val="24"/>
        </w:rPr>
        <w:t xml:space="preserve">Создание условий для выполнения функций, направленных на обеспечение прав и законных интересов жителей автономного округа в отдельных сферах жизнедеятельности" </w:t>
      </w:r>
      <w:r w:rsidR="005D7E75" w:rsidRPr="008D7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государственной программы Ханты-Мансийского автономного округа – Югры </w:t>
      </w:r>
      <w:r w:rsidR="005D7E75" w:rsidRPr="008D7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5D7E75" w:rsidRPr="008D7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Профилактика правонарушений и обеспечение отдельных прав граждан</w:t>
      </w:r>
      <w:r w:rsidR="005D7E75" w:rsidRPr="008D7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"</w:t>
      </w:r>
      <w:r w:rsidR="005D7E75" w:rsidRPr="008D7457">
        <w:rPr>
          <w:b/>
          <w:sz w:val="24"/>
          <w:szCs w:val="24"/>
        </w:rPr>
        <w:t xml:space="preserve"> </w:t>
      </w:r>
      <w:r w:rsidR="005D7E75" w:rsidRPr="008D7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5 октября 2018 года 348-п</w:t>
      </w:r>
    </w:p>
    <w:p w:rsidR="00DE4A5D" w:rsidRDefault="00DE4A5D" w:rsidP="005D7E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E4A5D" w:rsidRPr="00DE4A5D" w:rsidRDefault="00DE4A5D" w:rsidP="00DE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4A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(утвержден постановлением Правительства автономного округа от 05.10.2018 </w:t>
      </w:r>
    </w:p>
    <w:p w:rsidR="00DE4A5D" w:rsidRPr="00DE4A5D" w:rsidRDefault="00DE4A5D" w:rsidP="00DE4A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4A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348-п «О государственной программе Ханты-Мансийского автономного округа – Югры «Профилактика правонарушений и обеспечение отдельных прав граждан»)</w:t>
      </w:r>
    </w:p>
    <w:p w:rsidR="00F461BB" w:rsidRPr="008D7457" w:rsidRDefault="00F461BB" w:rsidP="005D7E7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1.1. Порядок устанавливает цели, условия и правила предоставления и распределения субсидии из бюджета Ханты-Мансийского автономного округа - Югры (далее - автономный округ) бюджетам муниципальных образований автономного округа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(далее - муниципальные программы).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1.2. Субсидия муниципальным образованиям автономного округа на реализацию мероприятий муниципальных программ (далее - субсидия) предоставляется в целях софинансирования расходных обязательств, возникающих при выполнении полномочий органов местного самоуправления муниципальных образований автономного округа по развитию форм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1.3. Уровень софинансирования расходных обязательств муниципального образования автономного округа за счет предоставляемой субсидии не может быть установлен выше 99% и ниже 1% расходных обязательств муниципального образования.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1.4. Организацию проведения отбора муниципальных образований автономного округа для предоставления субсидии (далее - отбор) осуществляет Департамент внутренней политики автономного округа (далее - Депполитики Югры), который определяет даты проведения отбора и церемонии награждения победителей отбора, формирует состав комиссии для определения победителей отбора (далее - Комиссия).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1.5. Целью отбора является поощрение городских округов и муниципальных районов автономного округа, успешно развивающих формы непосредственного осуществления населением местного самоуправления и участия населения в осуществлении местного самоуправления.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1.6. Участниками отбора являются городские округа и муниципальные районы автономного округа. Отбор проводится по следующим категориям: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I категория - городские округа автономного округа;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II категория - муниципальные районы автономного округа.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2. Критерии отбора муниципальных образований, условия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предоставления субсидии</w:t>
      </w:r>
    </w:p>
    <w:p w:rsidR="00F461BB" w:rsidRPr="008D7457" w:rsidRDefault="00F461BB" w:rsidP="00F461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2.1. Право на участие в отборе имеют муниципальные образования автономного округа при наличии: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162"/>
      <w:bookmarkEnd w:id="0"/>
      <w:r w:rsidRPr="008D7457">
        <w:rPr>
          <w:rFonts w:ascii="Times New Roman" w:hAnsi="Times New Roman" w:cs="Times New Roman"/>
          <w:sz w:val="24"/>
          <w:szCs w:val="24"/>
        </w:rPr>
        <w:t>2.1.1. Муниципальной программы, предусматривающей: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мероприятие, способствующее цели субсидии, указанной в пункте 1.2 Порядка и реализуемое через направления расходования, указанные в </w:t>
      </w:r>
      <w:hyperlink w:anchor="P3271" w:history="1">
        <w:r w:rsidRPr="008D7457">
          <w:rPr>
            <w:rFonts w:ascii="Times New Roman" w:hAnsi="Times New Roman" w:cs="Times New Roman"/>
            <w:sz w:val="24"/>
            <w:szCs w:val="24"/>
          </w:rPr>
          <w:t>пункте 4.1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 или направление мероприятия государственной программы;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целевой показатель, соответствующий целевому показателю государственной программы.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2.1.2 Средств, предусмотренных в бюджете муниципального образования автономного </w:t>
      </w:r>
      <w:r w:rsidRPr="008D7457">
        <w:rPr>
          <w:rFonts w:ascii="Times New Roman" w:hAnsi="Times New Roman" w:cs="Times New Roman"/>
          <w:sz w:val="24"/>
          <w:szCs w:val="24"/>
        </w:rPr>
        <w:lastRenderedPageBreak/>
        <w:t>округа на реализацию мероприятий в объеме, необходимом для обеспечения уровня софинансирования.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3166"/>
      <w:bookmarkEnd w:id="1"/>
      <w:r w:rsidRPr="008D7457">
        <w:rPr>
          <w:rFonts w:ascii="Times New Roman" w:hAnsi="Times New Roman" w:cs="Times New Roman"/>
          <w:sz w:val="24"/>
          <w:szCs w:val="24"/>
        </w:rPr>
        <w:t>2.2. Для участия в отборе органы местного самоуправления муниципальных образований автономного округа в срок до 29 марта текущего года представляют в Депполитики Югры следующие документы: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2.2.1. Заявку на участие в отборе по форме, утвержденной приказом Депполитики Югры.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2.2.2. Копию вступившей в силу муниципальной программы, указанной в </w:t>
      </w:r>
      <w:hyperlink w:anchor="P3162" w:history="1">
        <w:r w:rsidRPr="008D7457">
          <w:rPr>
            <w:rFonts w:ascii="Times New Roman" w:hAnsi="Times New Roman" w:cs="Times New Roman"/>
            <w:sz w:val="24"/>
            <w:szCs w:val="24"/>
          </w:rPr>
          <w:t>подпункте 2.1.1 пункта 2.1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2.2.3. Выписку из решения о бюджете (или из бюджетной росписи) муниципального образования автономного округа, подтверждающую наличие в местном бюджете бюджетных ассигнований на исполнение расходных обязательств, на софинансирование которых предоставляется субсидия, с учетом уровня софинансирования, установленного Порядком, заверенную руководителем финансового органа администрации городского округа, муниципального района.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2.2.4. Сведения о количестве и случаях применения в практике форм непосредственного осуществления населением местного самоуправления и участия населения в осуществлении местного самоуправления в предыдущем календарном году по форме, утвержденной приказом Депполитики Югры.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3172"/>
      <w:bookmarkEnd w:id="2"/>
      <w:r w:rsidRPr="008D7457">
        <w:rPr>
          <w:rFonts w:ascii="Times New Roman" w:hAnsi="Times New Roman" w:cs="Times New Roman"/>
          <w:sz w:val="24"/>
          <w:szCs w:val="24"/>
        </w:rPr>
        <w:t>2.3. Заявку на участие в отборе подписывает глава муниципального образования автономного округа (лицо, исполняющее его обязанности).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173"/>
      <w:bookmarkEnd w:id="3"/>
      <w:r w:rsidRPr="008D7457">
        <w:rPr>
          <w:rFonts w:ascii="Times New Roman" w:hAnsi="Times New Roman" w:cs="Times New Roman"/>
          <w:sz w:val="24"/>
          <w:szCs w:val="24"/>
        </w:rPr>
        <w:t xml:space="preserve">2.4. Документы, указанные в </w:t>
      </w:r>
      <w:hyperlink w:anchor="P3166" w:history="1">
        <w:r w:rsidRPr="008D7457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Порядка, должны быть сброшюрованы, пронумерованы и заверены печатью.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2.5. Основаниями для отклонения заявки на участие в отборе являются: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непредставление, представление не в полном объеме документов, указанных в </w:t>
      </w:r>
      <w:hyperlink w:anchor="P3166" w:history="1">
        <w:r w:rsidRPr="008D7457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нарушение срока или формы представления документов, указанных в </w:t>
      </w:r>
      <w:hyperlink w:anchor="P3166" w:history="1">
        <w:r w:rsidRPr="008D7457">
          <w:rPr>
            <w:rFonts w:ascii="Times New Roman" w:hAnsi="Times New Roman" w:cs="Times New Roman"/>
            <w:sz w:val="24"/>
            <w:szCs w:val="24"/>
          </w:rPr>
          <w:t>пункте 2.2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представление документов, не соответствующих условиям, указанным в </w:t>
      </w:r>
      <w:hyperlink w:anchor="P3172" w:history="1">
        <w:r w:rsidRPr="008D7457">
          <w:rPr>
            <w:rFonts w:ascii="Times New Roman" w:hAnsi="Times New Roman" w:cs="Times New Roman"/>
            <w:sz w:val="24"/>
            <w:szCs w:val="24"/>
          </w:rPr>
          <w:t>пунктах 2.3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173" w:history="1">
        <w:r w:rsidRPr="008D7457">
          <w:rPr>
            <w:rFonts w:ascii="Times New Roman" w:hAnsi="Times New Roman" w:cs="Times New Roman"/>
            <w:sz w:val="24"/>
            <w:szCs w:val="24"/>
          </w:rPr>
          <w:t>2.4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предоставление недостоверных сведений.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3. Порядок отбора муниципальных образований автономного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округа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3.1. Депполитики Югры принимает заявки на участие в отборе в срок, установленный пунктом 2.2 Порядка, рассматривает их на предмет соответствия критериям отбора, установленным Порядком, оформляет письменное заключение и направляет его в Комиссию по оценке заявок на участие в Отборе (далее – Комиссия) в течение 10 рабочих дней после окончания срока их приема, установленного пунктом 2.2 Порядка.</w:t>
      </w:r>
    </w:p>
    <w:p w:rsidR="00F461BB" w:rsidRPr="008D7457" w:rsidRDefault="00F461BB" w:rsidP="00F4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3.2. Проведение рейтинговой оценки заявок на участие в отборе осуществляет Комиссия. 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3.3. Положение о Комиссии и её состав утверждает приказом Депполитики Югры.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186"/>
      <w:bookmarkEnd w:id="4"/>
      <w:r w:rsidRPr="008D7457">
        <w:rPr>
          <w:rFonts w:ascii="Times New Roman" w:hAnsi="Times New Roman" w:cs="Times New Roman"/>
          <w:sz w:val="24"/>
          <w:szCs w:val="24"/>
        </w:rPr>
        <w:t>3.4. Заявки на участие в отборе, соответствующие критериям отбора, установленным Порядком, оцениваются Комиссией в течение 10 рабочих дней со дня окончания срока, установленного подпунктом 3.1 Порядка, в соответствии с рейтингом итогового значения, который рассчитывается по следующей формуле: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3.4.1. Для городских округов: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noProof/>
          <w:position w:val="-31"/>
          <w:sz w:val="24"/>
          <w:szCs w:val="24"/>
        </w:rPr>
        <w:drawing>
          <wp:inline distT="0" distB="0" distL="0" distR="0" wp14:anchorId="6B035BF2" wp14:editId="7AEB427B">
            <wp:extent cx="1270000" cy="533400"/>
            <wp:effectExtent l="0" t="0" r="6350" b="0"/>
            <wp:docPr id="9" name="Рисунок 9" descr="base_24478_18852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4478_188526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го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рейтинг итогового значения городского округа;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И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сумма базового значения городского округа;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И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сумма итогового значения за отчетный период по городскому округу, рассчитанная по формуле: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И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r w:rsidRPr="008D7457">
        <w:rPr>
          <w:rFonts w:ascii="Times New Roman" w:hAnsi="Times New Roman" w:cs="Times New Roman"/>
          <w:sz w:val="24"/>
          <w:szCs w:val="24"/>
        </w:rPr>
        <w:t xml:space="preserve"> = (П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8D7457">
        <w:rPr>
          <w:rFonts w:ascii="Times New Roman" w:hAnsi="Times New Roman" w:cs="Times New Roman"/>
          <w:sz w:val="24"/>
          <w:szCs w:val="24"/>
        </w:rPr>
        <w:t>) + 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>* (П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8D7457">
        <w:rPr>
          <w:rFonts w:ascii="Times New Roman" w:hAnsi="Times New Roman" w:cs="Times New Roman"/>
          <w:sz w:val="24"/>
          <w:szCs w:val="24"/>
        </w:rPr>
        <w:t>) + 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>* (П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8D7457">
        <w:rPr>
          <w:rFonts w:ascii="Times New Roman" w:hAnsi="Times New Roman" w:cs="Times New Roman"/>
          <w:sz w:val="24"/>
          <w:szCs w:val="24"/>
        </w:rPr>
        <w:t>), где: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1,2,3...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показатели (общее количество случаев применения форм непосредственного осуществления населением местного самоуправления и участия населения в осуществлении местного самоурпавления в городском округе) в соответствии с </w:t>
      </w:r>
      <w:hyperlink w:anchor="P3215" w:history="1">
        <w:r w:rsidRPr="008D7457">
          <w:rPr>
            <w:rFonts w:ascii="Times New Roman" w:hAnsi="Times New Roman" w:cs="Times New Roman"/>
            <w:sz w:val="24"/>
            <w:szCs w:val="24"/>
          </w:rPr>
          <w:t>таблицей 1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Порядка,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коэффициент по итогам участия городского округа в региональном этапе Всероссийского конкурса "Лучшая муниципальная практика" в автономном округе в номинации "Обеспечение эффективной "обратной связи"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формах" в год, предшествующий году проведения отбора, рассчитанный в соответствии с </w:t>
      </w:r>
      <w:hyperlink w:anchor="P3241" w:history="1">
        <w:r w:rsidRPr="008D7457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Порядка,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D7457">
        <w:rPr>
          <w:rFonts w:ascii="Times New Roman" w:hAnsi="Times New Roman" w:cs="Times New Roman"/>
          <w:sz w:val="24"/>
          <w:szCs w:val="24"/>
        </w:rPr>
        <w:t>– коэффициент количества применяемых форм непосредственного осуществления населением местного самоуправления и участия населения в осуществлении местного самоуправления в городском округе, рассчитанный в соответствии с таблицей 3 Порядка.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3.4.2. Для муниципальных районов (учитывается количество форм непосредственного осуществления населением местного самоуправления и участия населения в осуществлении местного самоуправления и случаи их применения в муниципальном районе и по поселениям, входящим в состав муниципального района):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noProof/>
          <w:position w:val="-31"/>
          <w:sz w:val="24"/>
          <w:szCs w:val="24"/>
        </w:rPr>
        <w:drawing>
          <wp:inline distT="0" distB="0" distL="0" distR="0" wp14:anchorId="2E62545B" wp14:editId="0D4B01A6">
            <wp:extent cx="1428750" cy="533400"/>
            <wp:effectExtent l="0" t="0" r="0" b="0"/>
            <wp:docPr id="2" name="Рисунок 2" descr="base_24478_18852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4478_188526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И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мр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рейтинг итогового значения муниципального района;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МР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сумма базового значения муниципального района;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МР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сумма итогового значения за отчетный период по муниципальному району, рассчитанная по формуле: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МР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о</w:t>
      </w:r>
      <w:r w:rsidRPr="008D7457">
        <w:rPr>
          <w:rFonts w:ascii="Times New Roman" w:hAnsi="Times New Roman" w:cs="Times New Roman"/>
          <w:sz w:val="24"/>
          <w:szCs w:val="24"/>
        </w:rPr>
        <w:t xml:space="preserve"> = (П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3,4,5...</w:t>
      </w:r>
      <w:r w:rsidRPr="008D7457">
        <w:rPr>
          <w:rFonts w:ascii="Times New Roman" w:hAnsi="Times New Roman" w:cs="Times New Roman"/>
          <w:sz w:val="24"/>
          <w:szCs w:val="24"/>
        </w:rPr>
        <w:t>) + (Ni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4,5,6...</w:t>
      </w:r>
      <w:r w:rsidRPr="008D7457">
        <w:rPr>
          <w:rFonts w:ascii="Times New Roman" w:hAnsi="Times New Roman" w:cs="Times New Roman"/>
          <w:sz w:val="24"/>
          <w:szCs w:val="24"/>
        </w:rPr>
        <w:t>) + 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* (Ni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4,5,6...</w:t>
      </w:r>
      <w:r w:rsidRPr="008D7457">
        <w:rPr>
          <w:rFonts w:ascii="Times New Roman" w:hAnsi="Times New Roman" w:cs="Times New Roman"/>
          <w:sz w:val="24"/>
          <w:szCs w:val="24"/>
        </w:rPr>
        <w:t>) + 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* (Ni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D7457">
        <w:rPr>
          <w:rFonts w:ascii="Times New Roman" w:hAnsi="Times New Roman" w:cs="Times New Roman"/>
          <w:sz w:val="24"/>
          <w:szCs w:val="24"/>
        </w:rPr>
        <w:t xml:space="preserve"> + Ni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4,5,6...</w:t>
      </w:r>
      <w:r w:rsidRPr="008D7457">
        <w:rPr>
          <w:rFonts w:ascii="Times New Roman" w:hAnsi="Times New Roman" w:cs="Times New Roman"/>
          <w:sz w:val="24"/>
          <w:szCs w:val="24"/>
        </w:rPr>
        <w:t>), где: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1,2,3...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показатели (общее количество случаев применения форм непосредственного осуществления населением местного самоуправления и участия населения в осуществлении местного самоуправления), рассчитанные в муниципальном районе (без учета поселений) в соответствии с </w:t>
      </w:r>
      <w:hyperlink w:anchor="P3215" w:history="1">
        <w:r w:rsidRPr="008D7457">
          <w:rPr>
            <w:rFonts w:ascii="Times New Roman" w:hAnsi="Times New Roman" w:cs="Times New Roman"/>
            <w:sz w:val="24"/>
            <w:szCs w:val="24"/>
          </w:rPr>
          <w:t>таблицей 1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Ni - показатели (общее количество случаев применения форм непосредственного осуществления населением местного самоуправления и участия населения в осуществлении местного самоуправления), соответствующие показателям </w:t>
      </w:r>
      <w:hyperlink w:anchor="P3215" w:history="1">
        <w:r w:rsidRPr="008D7457">
          <w:rPr>
            <w:rFonts w:ascii="Times New Roman" w:hAnsi="Times New Roman" w:cs="Times New Roman"/>
            <w:sz w:val="24"/>
            <w:szCs w:val="24"/>
          </w:rPr>
          <w:t>таблицы 1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 (П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>,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D7457">
        <w:rPr>
          <w:rFonts w:ascii="Times New Roman" w:hAnsi="Times New Roman" w:cs="Times New Roman"/>
          <w:sz w:val="24"/>
          <w:szCs w:val="24"/>
        </w:rPr>
        <w:t>,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D7457">
        <w:rPr>
          <w:rFonts w:ascii="Times New Roman" w:hAnsi="Times New Roman" w:cs="Times New Roman"/>
          <w:sz w:val="24"/>
          <w:szCs w:val="24"/>
        </w:rPr>
        <w:t>,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D7457">
        <w:rPr>
          <w:rFonts w:ascii="Times New Roman" w:hAnsi="Times New Roman" w:cs="Times New Roman"/>
          <w:sz w:val="24"/>
          <w:szCs w:val="24"/>
        </w:rPr>
        <w:t>,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8D7457">
        <w:rPr>
          <w:rFonts w:ascii="Times New Roman" w:hAnsi="Times New Roman" w:cs="Times New Roman"/>
          <w:sz w:val="24"/>
          <w:szCs w:val="24"/>
        </w:rPr>
        <w:t>,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8D7457">
        <w:rPr>
          <w:rFonts w:ascii="Times New Roman" w:hAnsi="Times New Roman" w:cs="Times New Roman"/>
          <w:sz w:val="24"/>
          <w:szCs w:val="24"/>
        </w:rPr>
        <w:t>,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7</w:t>
      </w:r>
      <w:r w:rsidRPr="008D7457">
        <w:rPr>
          <w:rFonts w:ascii="Times New Roman" w:hAnsi="Times New Roman" w:cs="Times New Roman"/>
          <w:sz w:val="24"/>
          <w:szCs w:val="24"/>
        </w:rPr>
        <w:t>, П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8D7457">
        <w:rPr>
          <w:rFonts w:ascii="Times New Roman" w:hAnsi="Times New Roman" w:cs="Times New Roman"/>
          <w:sz w:val="24"/>
          <w:szCs w:val="24"/>
        </w:rPr>
        <w:t>), рассчитанные для i-го поселения, входящего в состав муниципального района;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D7457">
        <w:rPr>
          <w:rFonts w:ascii="Times New Roman" w:hAnsi="Times New Roman" w:cs="Times New Roman"/>
          <w:sz w:val="24"/>
          <w:szCs w:val="24"/>
        </w:rPr>
        <w:t xml:space="preserve"> - коэффициент по итогам участия поселения, входящего в состав муниципального района, в региональном этапе Всероссийского конкурса "Лучшая муниципальная практика" в автономном округе в номинации "Обеспечение эффективной "обратной связи"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формах" в год, предшествующий году проведения отбора, рассчитанный в соответствии с </w:t>
      </w:r>
      <w:hyperlink w:anchor="P3241" w:history="1">
        <w:r w:rsidRPr="008D7457">
          <w:rPr>
            <w:rFonts w:ascii="Times New Roman" w:hAnsi="Times New Roman" w:cs="Times New Roman"/>
            <w:sz w:val="24"/>
            <w:szCs w:val="24"/>
          </w:rPr>
          <w:t>таблицей 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Pr="008D7457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8D7457">
        <w:rPr>
          <w:rFonts w:ascii="Times New Roman" w:hAnsi="Times New Roman" w:cs="Times New Roman"/>
          <w:sz w:val="24"/>
          <w:szCs w:val="24"/>
        </w:rPr>
        <w:t xml:space="preserve">– коэффициент количества применяемых форм непосредственного осуществления населением местного самоуправления и участия населения в осуществлении местного самоуправления, рассчитанный для муниципального района и </w:t>
      </w:r>
      <w:r w:rsidRPr="008D745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D7457">
        <w:rPr>
          <w:rFonts w:ascii="Times New Roman" w:hAnsi="Times New Roman" w:cs="Times New Roman"/>
          <w:sz w:val="24"/>
          <w:szCs w:val="24"/>
        </w:rPr>
        <w:t>-го поселения, входящего в состав муниципального района в соответствии с таблицей 4 Порядка.</w:t>
      </w:r>
    </w:p>
    <w:p w:rsidR="00F461BB" w:rsidRPr="008D7457" w:rsidRDefault="00F461BB" w:rsidP="00F461B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Таблица 1</w:t>
      </w:r>
    </w:p>
    <w:p w:rsidR="00F461BB" w:rsidRPr="008D7457" w:rsidRDefault="00F461BB" w:rsidP="00F461B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5" w:name="P3215"/>
      <w:bookmarkEnd w:id="5"/>
      <w:r w:rsidRPr="008D7457">
        <w:rPr>
          <w:rFonts w:ascii="Times New Roman" w:hAnsi="Times New Roman" w:cs="Times New Roman"/>
          <w:b w:val="0"/>
          <w:sz w:val="24"/>
          <w:szCs w:val="24"/>
        </w:rPr>
        <w:t>Показатели применения на практике форм непосредственного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осуществления населением местного самоуправления и участия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населения в осуществлении местного самоуправления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в автономном округе</w:t>
      </w:r>
    </w:p>
    <w:p w:rsidR="00F461BB" w:rsidRPr="008D7457" w:rsidRDefault="00F461BB" w:rsidP="00F461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8107"/>
      </w:tblGrid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Обозначение показателя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Форма непосредственного осуществления населением местного самоуправления и участия населения в осуществлении местного самоуправления в автономном округе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проектов муниципальных правовых актов, внесенных в органы местного самоуправления муниципального образования в порядке реализации правотворческой инициативы граждан за отчетный период в соответствии со </w:t>
            </w:r>
            <w:hyperlink r:id="rId8" w:history="1">
              <w:r w:rsidRPr="008D7457">
                <w:rPr>
                  <w:rFonts w:ascii="Times New Roman" w:hAnsi="Times New Roman" w:cs="Times New Roman"/>
                  <w:sz w:val="24"/>
                  <w:szCs w:val="24"/>
                </w:rPr>
                <w:t>статьей 26</w:t>
              </w:r>
            </w:hyperlink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06.10.2003 N 131-ФЗ "Об общих принципах организации местного самоуправления в Российской Федерации" (далее - Федеральный закон N 131-ФЗ)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количество территориальных общественных самоуправлений на территории муниципального образования на 1 января текущего периода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публичных слушаний, общественных обсуждений, проведенных в муниципальном образовании за отчетный период в соответствии со </w:t>
            </w:r>
            <w:hyperlink r:id="rId9" w:history="1">
              <w:r w:rsidRPr="008D7457">
                <w:rPr>
                  <w:rFonts w:ascii="Times New Roman" w:hAnsi="Times New Roman" w:cs="Times New Roman"/>
                  <w:sz w:val="24"/>
                  <w:szCs w:val="24"/>
                </w:rPr>
                <w:t>статьей 28</w:t>
              </w:r>
            </w:hyperlink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N 131-ФЗ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собраний граждан, проведенных в муниципальном образовании за отчетный период в соответствии со </w:t>
            </w:r>
            <w:hyperlink r:id="rId10" w:history="1">
              <w:r w:rsidRPr="008D7457">
                <w:rPr>
                  <w:rFonts w:ascii="Times New Roman" w:hAnsi="Times New Roman" w:cs="Times New Roman"/>
                  <w:sz w:val="24"/>
                  <w:szCs w:val="24"/>
                </w:rPr>
                <w:t>статьей 29</w:t>
              </w:r>
            </w:hyperlink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N 131-ФЗ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конференций граждан (собраний делегатов), проведенных в муниципальном образовании за отчетный период в соответствии со </w:t>
            </w:r>
            <w:hyperlink r:id="rId11" w:history="1">
              <w:r w:rsidRPr="008D7457">
                <w:rPr>
                  <w:rFonts w:ascii="Times New Roman" w:hAnsi="Times New Roman" w:cs="Times New Roman"/>
                  <w:sz w:val="24"/>
                  <w:szCs w:val="24"/>
                </w:rPr>
                <w:t>статьей 30</w:t>
              </w:r>
            </w:hyperlink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N 131-ФЗ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опросов граждан, проведенных в муниципальном образовании за отчетный период в соответствии со </w:t>
            </w:r>
            <w:hyperlink r:id="rId12" w:history="1">
              <w:r w:rsidRPr="008D7457">
                <w:rPr>
                  <w:rFonts w:ascii="Times New Roman" w:hAnsi="Times New Roman" w:cs="Times New Roman"/>
                  <w:sz w:val="24"/>
                  <w:szCs w:val="24"/>
                </w:rPr>
                <w:t>статьей 31</w:t>
              </w:r>
            </w:hyperlink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N 131-ФЗ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7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других форм непосредственного осуществления населением местного самоуправления и участия населения в осуществлении местного самоуправления, проведенных в муниципальном образовании за отчетный период в соответствии со </w:t>
            </w:r>
            <w:hyperlink r:id="rId13" w:history="1">
              <w:r w:rsidRPr="008D7457">
                <w:rPr>
                  <w:rFonts w:ascii="Times New Roman" w:hAnsi="Times New Roman" w:cs="Times New Roman"/>
                  <w:sz w:val="24"/>
                  <w:szCs w:val="24"/>
                </w:rPr>
                <w:t>статьей 33</w:t>
              </w:r>
            </w:hyperlink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N 131-ФЗ</w:t>
            </w:r>
          </w:p>
        </w:tc>
      </w:tr>
      <w:tr w:rsidR="00F461BB" w:rsidRPr="008D7457" w:rsidTr="00F461BB">
        <w:tc>
          <w:tcPr>
            <w:tcW w:w="96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8107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количество старост сельских населенных пунктов на 1 января текущего периода</w:t>
            </w:r>
          </w:p>
        </w:tc>
      </w:tr>
    </w:tbl>
    <w:p w:rsidR="00F461BB" w:rsidRPr="008D7457" w:rsidRDefault="00F461BB" w:rsidP="00F461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Таблица 2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6" w:name="P3241"/>
      <w:bookmarkEnd w:id="6"/>
      <w:r w:rsidRPr="008D7457">
        <w:rPr>
          <w:rFonts w:ascii="Times New Roman" w:hAnsi="Times New Roman" w:cs="Times New Roman"/>
          <w:b w:val="0"/>
          <w:sz w:val="24"/>
          <w:szCs w:val="24"/>
        </w:rPr>
        <w:t>Итоги участия муниципального образования в региональном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этапе Всероссийского конкурса "Лучшая муниципальная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lastRenderedPageBreak/>
        <w:t>практика" в автономном округе в номинации "Обеспечение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эффективной "обратной связи" с жителями муниципальных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образований, развитие территориального общественного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самоуправления и привлечение граждан к осуществлению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(участию в осуществлении) местного самоуправления</w:t>
      </w:r>
    </w:p>
    <w:p w:rsidR="00F461BB" w:rsidRPr="008D7457" w:rsidRDefault="00F461BB" w:rsidP="00F461B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в иных формах" в год, предшествующий проведению отбора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1483"/>
        <w:gridCol w:w="2154"/>
        <w:gridCol w:w="846"/>
        <w:gridCol w:w="853"/>
        <w:gridCol w:w="850"/>
      </w:tblGrid>
      <w:tr w:rsidR="00F461BB" w:rsidRPr="008D7457" w:rsidTr="00F461BB">
        <w:tc>
          <w:tcPr>
            <w:tcW w:w="2948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Городской округ, поселение в составе муниципального района</w:t>
            </w:r>
          </w:p>
        </w:tc>
        <w:tc>
          <w:tcPr>
            <w:tcW w:w="1483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не принимал участие</w:t>
            </w:r>
          </w:p>
        </w:tc>
        <w:tc>
          <w:tcPr>
            <w:tcW w:w="215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принимал участие, но не занял призовое место</w:t>
            </w:r>
          </w:p>
        </w:tc>
        <w:tc>
          <w:tcPr>
            <w:tcW w:w="846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853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2 место</w:t>
            </w:r>
          </w:p>
        </w:tc>
        <w:tc>
          <w:tcPr>
            <w:tcW w:w="850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1 место</w:t>
            </w:r>
          </w:p>
        </w:tc>
      </w:tr>
      <w:tr w:rsidR="00F461BB" w:rsidRPr="008D7457" w:rsidTr="00F461BB">
        <w:tc>
          <w:tcPr>
            <w:tcW w:w="2948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Коэффициент (К)</w:t>
            </w:r>
          </w:p>
        </w:tc>
        <w:tc>
          <w:tcPr>
            <w:tcW w:w="1483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54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846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3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</w:tbl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Таблица 3</w:t>
      </w:r>
    </w:p>
    <w:p w:rsidR="00F461BB" w:rsidRPr="008D7457" w:rsidRDefault="00F461BB" w:rsidP="00F461B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Коэффициент количества применяемых форм непосредственного осуществления населением местного самоуправления и участия населения в осуществлении местного самоуправления для городских округов</w:t>
      </w:r>
    </w:p>
    <w:p w:rsidR="00F461BB" w:rsidRPr="008D7457" w:rsidRDefault="00F461BB" w:rsidP="00F461B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21"/>
        <w:gridCol w:w="567"/>
        <w:gridCol w:w="567"/>
        <w:gridCol w:w="567"/>
        <w:gridCol w:w="567"/>
        <w:gridCol w:w="567"/>
        <w:gridCol w:w="567"/>
      </w:tblGrid>
      <w:tr w:rsidR="00F461BB" w:rsidRPr="008D7457" w:rsidTr="00F461BB">
        <w:tc>
          <w:tcPr>
            <w:tcW w:w="6521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Количество применяемых форм непосредственного осуществления населением местного самоуправления и участия населения в осуществлении местного самоуправления для городских округов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61BB" w:rsidRPr="008D7457" w:rsidTr="00F461BB">
        <w:tc>
          <w:tcPr>
            <w:tcW w:w="6521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Коэффициент (К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</w:tbl>
    <w:p w:rsidR="00F461BB" w:rsidRPr="008D7457" w:rsidRDefault="00F461BB" w:rsidP="00F461B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Таблица 4</w:t>
      </w:r>
    </w:p>
    <w:p w:rsidR="00F461BB" w:rsidRPr="008D7457" w:rsidRDefault="00F461BB" w:rsidP="00F461BB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Коэффициент количества применяемых форм непосредственного осуществления населением местного самоуправления и участия населения в осуществлении местного самоуправления для городских округов</w:t>
      </w:r>
    </w:p>
    <w:p w:rsidR="00F461BB" w:rsidRPr="008D7457" w:rsidRDefault="00F461BB" w:rsidP="00F461B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9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22"/>
        <w:gridCol w:w="567"/>
        <w:gridCol w:w="567"/>
        <w:gridCol w:w="567"/>
        <w:gridCol w:w="567"/>
        <w:gridCol w:w="567"/>
        <w:gridCol w:w="567"/>
        <w:gridCol w:w="567"/>
      </w:tblGrid>
      <w:tr w:rsidR="00F461BB" w:rsidRPr="008D7457" w:rsidTr="00F461BB">
        <w:tc>
          <w:tcPr>
            <w:tcW w:w="6322" w:type="dxa"/>
          </w:tcPr>
          <w:p w:rsidR="00F461BB" w:rsidRPr="008D7457" w:rsidRDefault="00F461BB" w:rsidP="00F461BB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применяемых форм непосредственного осуществления населением местного самоуправления и участия населения в осуществлении местного самоуправления для муниципальных районов </w:t>
            </w:r>
          </w:p>
        </w:tc>
        <w:tc>
          <w:tcPr>
            <w:tcW w:w="567" w:type="dxa"/>
            <w:vAlign w:val="center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567" w:type="dxa"/>
            <w:vAlign w:val="center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vAlign w:val="center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461BB" w:rsidRPr="008D7457" w:rsidTr="00F461BB">
        <w:tc>
          <w:tcPr>
            <w:tcW w:w="6322" w:type="dxa"/>
          </w:tcPr>
          <w:p w:rsidR="00F461BB" w:rsidRPr="008D7457" w:rsidRDefault="00F461BB" w:rsidP="00F461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Коэффициент (К</w:t>
            </w:r>
            <w:r w:rsidRPr="008D745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567" w:type="dxa"/>
          </w:tcPr>
          <w:p w:rsidR="00F461BB" w:rsidRPr="008D7457" w:rsidRDefault="00F461BB" w:rsidP="00F461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45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</w:tbl>
    <w:p w:rsidR="00F461BB" w:rsidRPr="008D7457" w:rsidRDefault="00F461BB" w:rsidP="00F461B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3.5. Комиссия в течение 5 рабочих дней со дня окончания срока, установленного </w:t>
      </w:r>
      <w:hyperlink w:anchor="P3186" w:history="1">
        <w:r w:rsidRPr="008D7457">
          <w:rPr>
            <w:rFonts w:ascii="Times New Roman" w:hAnsi="Times New Roman" w:cs="Times New Roman"/>
            <w:sz w:val="24"/>
            <w:szCs w:val="24"/>
          </w:rPr>
          <w:t>пунктом 3.4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Порядка, обеспечивает размещение информации о результатах отбора на официальном сайте Депполитики Югры и направляет уведомления муниципальным образованиям - участникам отбора.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3.6. Размер субсидии распределяется в следующих размерах: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1 место - по 25% для каждой категории от общего размера субсидии;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2 место - по 17% для каждой категории от общего размера субсидии;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3 место - по 8% для каждой категории от общего размера субсидии.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8D7457">
        <w:rPr>
          <w:rFonts w:ascii="Times New Roman" w:hAnsi="Times New Roman" w:cs="Times New Roman"/>
          <w:b w:val="0"/>
          <w:sz w:val="24"/>
          <w:szCs w:val="24"/>
        </w:rPr>
        <w:t>4. Порядок перечисления и возврата субсидии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3271"/>
      <w:bookmarkEnd w:id="7"/>
      <w:r w:rsidRPr="008D7457">
        <w:rPr>
          <w:rFonts w:ascii="Times New Roman" w:hAnsi="Times New Roman" w:cs="Times New Roman"/>
          <w:sz w:val="24"/>
          <w:szCs w:val="24"/>
        </w:rPr>
        <w:t>4.1. Субсидия предоставляется муниципальным образованиям автономного округа на основании принятого Комиссией решения при наличии подписанного сторонами соглашения (далее - Соглашение).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lastRenderedPageBreak/>
        <w:t>Субсидия может быть направлена на: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а) приобретение (изготовление) методических и иных материалов для развития форм непосредственного осуществления населением местного самоуправления и участия населения в осуществлении местного самоуправления (далее - форма), за исключением предусмотренных </w:t>
      </w:r>
      <w:hyperlink r:id="rId14" w:history="1">
        <w:r w:rsidRPr="008D7457">
          <w:rPr>
            <w:rFonts w:ascii="Times New Roman" w:hAnsi="Times New Roman" w:cs="Times New Roman"/>
            <w:sz w:val="24"/>
            <w:szCs w:val="24"/>
          </w:rPr>
          <w:t>статьями 22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- </w:t>
      </w:r>
      <w:hyperlink r:id="rId15" w:history="1">
        <w:r w:rsidRPr="008D7457">
          <w:rPr>
            <w:rFonts w:ascii="Times New Roman" w:hAnsi="Times New Roman" w:cs="Times New Roman"/>
            <w:sz w:val="24"/>
            <w:szCs w:val="24"/>
          </w:rPr>
          <w:t>24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Федерального закона N 131-ФЗ;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б) информационное обеспечение форм, за исключением предусмотренных </w:t>
      </w:r>
      <w:hyperlink r:id="rId16" w:history="1">
        <w:r w:rsidRPr="008D7457">
          <w:rPr>
            <w:rFonts w:ascii="Times New Roman" w:hAnsi="Times New Roman" w:cs="Times New Roman"/>
            <w:sz w:val="24"/>
            <w:szCs w:val="24"/>
          </w:rPr>
          <w:t>статьями 22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- </w:t>
      </w:r>
      <w:hyperlink r:id="rId17" w:history="1">
        <w:r w:rsidRPr="008D7457">
          <w:rPr>
            <w:rFonts w:ascii="Times New Roman" w:hAnsi="Times New Roman" w:cs="Times New Roman"/>
            <w:sz w:val="24"/>
            <w:szCs w:val="24"/>
          </w:rPr>
          <w:t>24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Федерального закона N 131-ФЗ;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в) проведение обучающих семинаров для руководителей и специалистов органов местного самоуправления муниципальных образований автономного округа, актива территориальных общественных самоуправлений, иных жителей, принимающих участие в развитии форм, за исключением предусмотренных </w:t>
      </w:r>
      <w:hyperlink r:id="rId18" w:history="1">
        <w:r w:rsidRPr="008D7457">
          <w:rPr>
            <w:rFonts w:ascii="Times New Roman" w:hAnsi="Times New Roman" w:cs="Times New Roman"/>
            <w:sz w:val="24"/>
            <w:szCs w:val="24"/>
          </w:rPr>
          <w:t>статьями 22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- </w:t>
      </w:r>
      <w:hyperlink r:id="rId19" w:history="1">
        <w:r w:rsidRPr="008D7457">
          <w:rPr>
            <w:rFonts w:ascii="Times New Roman" w:hAnsi="Times New Roman" w:cs="Times New Roman"/>
            <w:sz w:val="24"/>
            <w:szCs w:val="24"/>
          </w:rPr>
          <w:t>24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Федерального закона N 131-ФЗ;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г) проведение мероприятий, направленных на популяризацию среди населения форм (акции, розыгрыши, конкурсы и т.д.), за исключением предусмотренных </w:t>
      </w:r>
      <w:hyperlink r:id="rId20" w:history="1">
        <w:r w:rsidRPr="008D7457">
          <w:rPr>
            <w:rFonts w:ascii="Times New Roman" w:hAnsi="Times New Roman" w:cs="Times New Roman"/>
            <w:sz w:val="24"/>
            <w:szCs w:val="24"/>
          </w:rPr>
          <w:t>статьями 22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- </w:t>
      </w:r>
      <w:hyperlink r:id="rId21" w:history="1">
        <w:r w:rsidRPr="008D7457">
          <w:rPr>
            <w:rFonts w:ascii="Times New Roman" w:hAnsi="Times New Roman" w:cs="Times New Roman"/>
            <w:sz w:val="24"/>
            <w:szCs w:val="24"/>
          </w:rPr>
          <w:t>24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Федерального закона N 131-ФЗ;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д) оплата расходов, связанных с участием актива территориальных общественных самоуправлений, сельских старост в форумах, семинарах, конференциях, "круглых столах" (расходы на проезд к месту проведения мероприятия и обратно, по найму жилого помещения, дополнительные расходы, связанные с проживанием вне постоянного места жительства)</w:t>
      </w:r>
      <w:r w:rsidRPr="008D7457">
        <w:rPr>
          <w:rFonts w:ascii="Times New Roman" w:hAnsi="Times New Roman" w:cs="Times New Roman"/>
          <w:strike/>
          <w:sz w:val="24"/>
          <w:szCs w:val="24"/>
        </w:rPr>
        <w:t>.;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е) материально-техническое обеспечение мероприятий, включенных в дорожную карту муниципального образования  автономного округа</w:t>
      </w:r>
      <w:r w:rsidRPr="008D74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7457">
        <w:rPr>
          <w:rFonts w:ascii="Times New Roman" w:hAnsi="Times New Roman" w:cs="Times New Roman"/>
          <w:sz w:val="24"/>
          <w:szCs w:val="24"/>
        </w:rPr>
        <w:t>по развитию территориального общественного самоуправления, в рамках осуществления хозяйственной деятельности по благоустройству территории, иной хозяйственной деятельности, направленной на удовлетворение социально-бытовых потребностей граждан, проживающих на соответствующей территории муниципального образования автономного округа,  исполнение которых передано территориальным общественным самоуправлениям на основании договора.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3278"/>
      <w:bookmarkEnd w:id="8"/>
      <w:r w:rsidRPr="008D7457">
        <w:rPr>
          <w:rFonts w:ascii="Times New Roman" w:hAnsi="Times New Roman" w:cs="Times New Roman"/>
          <w:sz w:val="24"/>
          <w:szCs w:val="24"/>
        </w:rPr>
        <w:t>4.2. Соглашение заключается в автоматизированной системе планирования, бухгалтерского учета и анализа исполнения бюджета "Бюджет".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4.3. В Соглашении должны быть предусмотрены: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а) сведения о размере субсидии и доле софинансирования;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б) реквизиты муниципального правового акта, предусматривающего мероприятия, и показатель, соответствующие по цели и направлениям мероприятию и показателю государственной программы;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в) значение показателя муниципальной программы (аналогичного соответствующему показателю государственной программы) (приложение к Соглашению);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г) порядок, условия и сроки предоставления субсидии;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д) форма и сроки предоставления отчета об использовании субсидии и средств местного бюджета;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е) порядок возврата субсидии, в том числе использованной не по целевому назначению;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ж) ответственность сторон за нарушение Соглашения;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3287"/>
      <w:bookmarkEnd w:id="9"/>
      <w:r w:rsidRPr="008D7457">
        <w:rPr>
          <w:rFonts w:ascii="Times New Roman" w:hAnsi="Times New Roman" w:cs="Times New Roman"/>
          <w:sz w:val="24"/>
          <w:szCs w:val="24"/>
        </w:rPr>
        <w:t>4.4. Для заключения Соглашения муниципальное образование к проекту Соглашения прикрепляет следующие документы: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заверенную копию утвержденной муниципальной программы, соответствующей требованиям, установленным в </w:t>
      </w:r>
      <w:hyperlink w:anchor="P3162" w:history="1">
        <w:r w:rsidRPr="008D7457">
          <w:rPr>
            <w:rFonts w:ascii="Times New Roman" w:hAnsi="Times New Roman" w:cs="Times New Roman"/>
            <w:sz w:val="24"/>
            <w:szCs w:val="24"/>
          </w:rPr>
          <w:t>подпункте 2.1.1 пункта 2.1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выписку из решения о бюджете (или из бюджетной росписи) муниципального образования, подтверждающую наличие в местном бюджете бюджетных ассигнований на исполнение расходных обязательств, на софинансирование которых предоставляется субсидия, с учетом уровня софинансирования, установленного Порядком, заверенную руководителем финансового органа администрации городского округа, муниципального района.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4.5. Соглашение заключается с учетом соблюдения условий, определенных </w:t>
      </w:r>
      <w:hyperlink w:anchor="P3278" w:history="1">
        <w:r w:rsidRPr="008D7457">
          <w:rPr>
            <w:rFonts w:ascii="Times New Roman" w:hAnsi="Times New Roman" w:cs="Times New Roman"/>
            <w:sz w:val="24"/>
            <w:szCs w:val="24"/>
          </w:rPr>
          <w:t>пунктами 4.2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3287" w:history="1">
        <w:r w:rsidRPr="008D7457">
          <w:rPr>
            <w:rFonts w:ascii="Times New Roman" w:hAnsi="Times New Roman" w:cs="Times New Roman"/>
            <w:sz w:val="24"/>
            <w:szCs w:val="24"/>
          </w:rPr>
          <w:t>4.4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Порядка, в течение 30 рабочих дней.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lastRenderedPageBreak/>
        <w:t>4.6. В случае нарушения муниципальным образованием автономного округа срока и условий, указанных в Порядке, денежные средства перераспределяются на другие приоритетные направления расходных обязательств бюджета автономного округа.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4.7. Перечисление субсидии осуществляется в порядке, установленном Департаментом финансов автономного округа, на счета,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 автономного округа.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4.8. Органы местного самоуправления муниципальных образований автономного округа несут ответственность за соблюдение положений Порядка, осуществление расходов, источником финансового обеспечения которых является субсидия, в том числе за ее целевое использование, а также достоверность представляемых сведений.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4.9. В случае выявления нецелевого использования субсидии органами местного самоуправления муниципальных образований автономного округа она подлежит возврату в бюджет автономного округа.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4.10. При выявлении нецелевого использования субсидии Депполитики Югры в течение 5 рабочих дней принимает решение о ее возврате и в течение 10 рабочих дней со дня принятия такого решения направляет органу местного самоуправления муниципального образования автономного округа соответствующее требование.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>4.11. Орган местного самоуправления муниципального образования автономного округа обязан в течение 10 рабочих дней с даты получения требования перечислить указанную в нем сумму субсидии в бюджет автономного округа.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D7457">
        <w:rPr>
          <w:rFonts w:ascii="Times New Roman" w:hAnsi="Times New Roman" w:cs="Times New Roman"/>
          <w:sz w:val="24"/>
          <w:szCs w:val="24"/>
        </w:rPr>
        <w:t xml:space="preserve">4.12. В случае невыполнения органом местного самоуправления муниципального образования автономного округа требования </w:t>
      </w:r>
      <w:hyperlink w:anchor="P3298" w:history="1">
        <w:r w:rsidRPr="008D7457">
          <w:rPr>
            <w:rFonts w:ascii="Times New Roman" w:hAnsi="Times New Roman" w:cs="Times New Roman"/>
            <w:sz w:val="24"/>
            <w:szCs w:val="24"/>
          </w:rPr>
          <w:t>пункта 4.13</w:t>
        </w:r>
      </w:hyperlink>
      <w:r w:rsidRPr="008D7457">
        <w:rPr>
          <w:rFonts w:ascii="Times New Roman" w:hAnsi="Times New Roman" w:cs="Times New Roman"/>
          <w:sz w:val="24"/>
          <w:szCs w:val="24"/>
        </w:rPr>
        <w:t xml:space="preserve"> Порядка взыскание субсидии осуществляется в судебном порядке в соответствии с законодательством Российской </w:t>
      </w:r>
      <w:bookmarkStart w:id="10" w:name="_GoBack"/>
      <w:bookmarkEnd w:id="10"/>
      <w:r w:rsidRPr="008D7457">
        <w:rPr>
          <w:rFonts w:ascii="Times New Roman" w:hAnsi="Times New Roman" w:cs="Times New Roman"/>
          <w:sz w:val="24"/>
          <w:szCs w:val="24"/>
        </w:rPr>
        <w:t>Федерации.</w:t>
      </w:r>
    </w:p>
    <w:p w:rsidR="00F461BB" w:rsidRPr="008D7457" w:rsidRDefault="00F461BB" w:rsidP="00F461B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3298"/>
      <w:bookmarkEnd w:id="11"/>
      <w:r w:rsidRPr="008D7457">
        <w:rPr>
          <w:rFonts w:ascii="Times New Roman" w:hAnsi="Times New Roman" w:cs="Times New Roman"/>
          <w:sz w:val="24"/>
          <w:szCs w:val="24"/>
        </w:rPr>
        <w:t>4.13. Средства субсидии, не использованные муниципальным образованием автономного округа на конец финансового года, подлежат возврату в бюджет автономного округа.</w:t>
      </w:r>
    </w:p>
    <w:p w:rsidR="00F461BB" w:rsidRPr="008D7457" w:rsidRDefault="00F461BB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7457" w:rsidRPr="008D7457" w:rsidRDefault="008D7457">
      <w:pPr>
        <w:spacing w:after="20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D7457" w:rsidRPr="008D7457" w:rsidSect="00C57E13">
      <w:headerReference w:type="default" r:id="rId22"/>
      <w:pgSz w:w="11906" w:h="16838"/>
      <w:pgMar w:top="851" w:right="1134" w:bottom="851" w:left="1134" w:header="709" w:footer="709" w:gutter="0"/>
      <w:pgNumType w:start="2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E13" w:rsidRDefault="00C57E13" w:rsidP="00C57E13">
      <w:pPr>
        <w:spacing w:after="0" w:line="240" w:lineRule="auto"/>
      </w:pPr>
      <w:r>
        <w:separator/>
      </w:r>
    </w:p>
  </w:endnote>
  <w:endnote w:type="continuationSeparator" w:id="0">
    <w:p w:rsidR="00C57E13" w:rsidRDefault="00C57E13" w:rsidP="00C5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E13" w:rsidRDefault="00C57E13" w:rsidP="00C57E13">
      <w:pPr>
        <w:spacing w:after="0" w:line="240" w:lineRule="auto"/>
      </w:pPr>
      <w:r>
        <w:separator/>
      </w:r>
    </w:p>
  </w:footnote>
  <w:footnote w:type="continuationSeparator" w:id="0">
    <w:p w:rsidR="00C57E13" w:rsidRDefault="00C57E13" w:rsidP="00C5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4143561"/>
      <w:docPartObj>
        <w:docPartGallery w:val="Page Numbers (Top of Page)"/>
        <w:docPartUnique/>
      </w:docPartObj>
    </w:sdtPr>
    <w:sdtContent>
      <w:p w:rsidR="00C57E13" w:rsidRDefault="00C57E1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2799</w:t>
        </w:r>
        <w:r>
          <w:fldChar w:fldCharType="end"/>
        </w:r>
      </w:p>
    </w:sdtContent>
  </w:sdt>
  <w:p w:rsidR="00C57E13" w:rsidRDefault="00C57E1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F61"/>
    <w:rsid w:val="000A33D6"/>
    <w:rsid w:val="000F6F47"/>
    <w:rsid w:val="00131679"/>
    <w:rsid w:val="00160E3D"/>
    <w:rsid w:val="00196372"/>
    <w:rsid w:val="002406FE"/>
    <w:rsid w:val="002C26E1"/>
    <w:rsid w:val="00324728"/>
    <w:rsid w:val="00334625"/>
    <w:rsid w:val="00372EE5"/>
    <w:rsid w:val="00433834"/>
    <w:rsid w:val="00596F28"/>
    <w:rsid w:val="005A497D"/>
    <w:rsid w:val="005D7E75"/>
    <w:rsid w:val="00657578"/>
    <w:rsid w:val="006C0C8C"/>
    <w:rsid w:val="006C6C29"/>
    <w:rsid w:val="006D5CAA"/>
    <w:rsid w:val="00702F76"/>
    <w:rsid w:val="00710FD0"/>
    <w:rsid w:val="0078197F"/>
    <w:rsid w:val="007F5CB0"/>
    <w:rsid w:val="00802EC0"/>
    <w:rsid w:val="0080326D"/>
    <w:rsid w:val="00846C90"/>
    <w:rsid w:val="008D7457"/>
    <w:rsid w:val="009A4A0D"/>
    <w:rsid w:val="009C70F4"/>
    <w:rsid w:val="009E2571"/>
    <w:rsid w:val="00A71700"/>
    <w:rsid w:val="00AA4CBA"/>
    <w:rsid w:val="00AC10C0"/>
    <w:rsid w:val="00AF322E"/>
    <w:rsid w:val="00AF5F61"/>
    <w:rsid w:val="00B7199E"/>
    <w:rsid w:val="00C57E13"/>
    <w:rsid w:val="00CB4706"/>
    <w:rsid w:val="00CD1E69"/>
    <w:rsid w:val="00CE6CB9"/>
    <w:rsid w:val="00CF71B1"/>
    <w:rsid w:val="00D6476D"/>
    <w:rsid w:val="00D848CC"/>
    <w:rsid w:val="00D96C09"/>
    <w:rsid w:val="00DE4A5D"/>
    <w:rsid w:val="00E07C41"/>
    <w:rsid w:val="00E4001D"/>
    <w:rsid w:val="00E70E4A"/>
    <w:rsid w:val="00E773E8"/>
    <w:rsid w:val="00E80EA8"/>
    <w:rsid w:val="00EB337D"/>
    <w:rsid w:val="00ED3BA6"/>
    <w:rsid w:val="00EF2B16"/>
    <w:rsid w:val="00F461BB"/>
    <w:rsid w:val="00F67A45"/>
    <w:rsid w:val="00FE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8E648-EE88-4089-8B1F-D49F3C9A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F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5F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F5F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F67A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7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3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57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E13"/>
  </w:style>
  <w:style w:type="paragraph" w:styleId="a8">
    <w:name w:val="footer"/>
    <w:basedOn w:val="a"/>
    <w:link w:val="a9"/>
    <w:uiPriority w:val="99"/>
    <w:unhideWhenUsed/>
    <w:rsid w:val="00C57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8248F66C176A679301EABD797B718D096227A7596A4D3F8A18E8AF45AB30124658C04FF58C3FA6DB69F482C64F43DD10FC1406A1F94953BCm3E" TargetMode="External"/><Relationship Id="rId13" Type="http://schemas.openxmlformats.org/officeDocument/2006/relationships/hyperlink" Target="consultantplus://offline/ref=D48248F66C176A679301EABD797B718D096227A7596A4D3F8A18E8AF45AB30124658C04FF58C3EA9DE69F482C64F43DD10FC1406A1F94953BCm3E" TargetMode="External"/><Relationship Id="rId18" Type="http://schemas.openxmlformats.org/officeDocument/2006/relationships/hyperlink" Target="consultantplus://offline/ref=D48248F66C176A679301EABD797B718D096227A7596A4D3F8A18E8AF45AB30124658C04FF58C3FAADF69F482C64F43DD10FC1406A1F94953BCm3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D48248F66C176A679301EABD797B718D096227A7596A4D3F8A18E8AF45AB30124658C04FF58C3FA8D869F482C64F43DD10FC1406A1F94953BCm3E" TargetMode="Externa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D48248F66C176A679301EABD797B718D096227A7596A4D3F8A18E8AF45AB30124658C04FF58C3EABDD69F482C64F43DD10FC1406A1F94953BCm3E" TargetMode="External"/><Relationship Id="rId17" Type="http://schemas.openxmlformats.org/officeDocument/2006/relationships/hyperlink" Target="consultantplus://offline/ref=D48248F66C176A679301EABD797B718D096227A7596A4D3F8A18E8AF45AB30124658C04FF58C3FA8D869F482C64F43DD10FC1406A1F94953BCm3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48248F66C176A679301EABD797B718D096227A7596A4D3F8A18E8AF45AB30124658C04FF58C3FAADF69F482C64F43DD10FC1406A1F94953BCm3E" TargetMode="External"/><Relationship Id="rId20" Type="http://schemas.openxmlformats.org/officeDocument/2006/relationships/hyperlink" Target="consultantplus://offline/ref=D48248F66C176A679301EABD797B718D096227A7596A4D3F8A18E8AF45AB30124658C04FF58C3FAADF69F482C64F43DD10FC1406A1F94953BCm3E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D48248F66C176A679301EABD797B718D096227A7596A4D3F8A18E8AF45AB30124658C04FF58C3EAADB69F482C64F43DD10FC1406A1F94953BCm3E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48248F66C176A679301EABD797B718D096227A7596A4D3F8A18E8AF45AB30124658C04FF58C3FA8D869F482C64F43DD10FC1406A1F94953BCm3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48248F66C176A679301EABD797B718D096227A7596A4D3F8A18E8AF45AB30124658C04FF58C3EADD869F482C64F43DD10FC1406A1F94953BCm3E" TargetMode="External"/><Relationship Id="rId19" Type="http://schemas.openxmlformats.org/officeDocument/2006/relationships/hyperlink" Target="consultantplus://offline/ref=D48248F66C176A679301EABD797B718D096227A7596A4D3F8A18E8AF45AB30124658C04FF58C3FA8D869F482C64F43DD10FC1406A1F94953BCm3E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48248F66C176A679301EABD797B718D096227A7596A4D3F8A18E8AF45AB30124658C049FD8436FA8C26F5DE801A50DF13FC1605BEBFm2E" TargetMode="External"/><Relationship Id="rId14" Type="http://schemas.openxmlformats.org/officeDocument/2006/relationships/hyperlink" Target="consultantplus://offline/ref=D48248F66C176A679301EABD797B718D096227A7596A4D3F8A18E8AF45AB30124658C04FF58C3FAADF69F482C64F43DD10FC1406A1F94953BCm3E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3248</Words>
  <Characters>18516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Егиазарян Оксана Минтаировна</dc:creator>
  <cp:lastModifiedBy>Фрей Валентина Александровна</cp:lastModifiedBy>
  <cp:revision>12</cp:revision>
  <dcterms:created xsi:type="dcterms:W3CDTF">2018-10-16T09:47:00Z</dcterms:created>
  <dcterms:modified xsi:type="dcterms:W3CDTF">2019-10-18T14:50:00Z</dcterms:modified>
</cp:coreProperties>
</file>